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7EB" w:rsidRPr="00B55935" w:rsidRDefault="000B17EB" w:rsidP="000B17EB">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3F1A91">
        <w:rPr>
          <w:rFonts w:ascii="Calibri" w:eastAsia="新細明體" w:hAnsi="Calibri" w:cs="Arial"/>
          <w:noProof w:val="0"/>
          <w:sz w:val="24"/>
          <w:szCs w:val="24"/>
          <w:lang w:eastAsia="ja-JP"/>
        </w:rPr>
        <w:t>3907</w:t>
      </w:r>
      <w:bookmarkStart w:id="2" w:name="_GoBack"/>
      <w:bookmarkEnd w:id="2"/>
    </w:p>
    <w:p w:rsidR="000B17EB" w:rsidRPr="00FE72F2" w:rsidRDefault="000B17EB" w:rsidP="000B17EB">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rsidR="00507D59" w:rsidRPr="000B17EB" w:rsidRDefault="00507D59" w:rsidP="00507D59">
      <w:pPr>
        <w:pStyle w:val="a3"/>
        <w:rPr>
          <w:rFonts w:ascii="Calibri" w:hAnsi="Calibri"/>
          <w:bCs/>
          <w:noProof w:val="0"/>
          <w:sz w:val="24"/>
          <w:lang w:eastAsia="ja-JP"/>
        </w:rPr>
      </w:pPr>
    </w:p>
    <w:p w:rsidR="00507D59" w:rsidRPr="00FD1290" w:rsidRDefault="00507D59" w:rsidP="00507D59">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w:t>
      </w:r>
      <w:r w:rsidR="00042B2B">
        <w:rPr>
          <w:rFonts w:ascii="Calibri" w:eastAsia="新細明體" w:hAnsi="Calibri" w:cs="Arial"/>
          <w:b/>
          <w:sz w:val="24"/>
          <w:szCs w:val="24"/>
          <w:lang w:eastAsia="ja-JP"/>
        </w:rPr>
        <w:t>6.10.7.5.2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61612E">
        <w:rPr>
          <w:b/>
          <w:bCs/>
          <w:sz w:val="24"/>
          <w:szCs w:val="24"/>
        </w:rPr>
        <w:t>Interruption</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17505" w:rsidRDefault="009B73F5" w:rsidP="00217505">
      <w:pPr>
        <w:rPr>
          <w:lang w:eastAsia="zh-TW"/>
        </w:rPr>
      </w:pPr>
      <w:bookmarkStart w:id="3" w:name="OLE_LINK1"/>
      <w:bookmarkStart w:id="4" w:name="OLE_LINK2"/>
      <w:bookmarkStart w:id="5" w:name="OLE_LINK132"/>
      <w:bookmarkStart w:id="6" w:name="OLE_LINK133"/>
      <w:r>
        <w:rPr>
          <w:lang w:eastAsia="zh-TW"/>
        </w:rPr>
        <w:t>In this paper, we discuss the remaining issues</w:t>
      </w:r>
      <w:r w:rsidR="00F30702">
        <w:rPr>
          <w:lang w:eastAsia="zh-TW"/>
        </w:rPr>
        <w:t xml:space="preserve"> for </w:t>
      </w:r>
      <w:r w:rsidR="000B17EB">
        <w:rPr>
          <w:lang w:eastAsia="zh-TW"/>
        </w:rPr>
        <w:t xml:space="preserve">RRC-based </w:t>
      </w:r>
      <w:r w:rsidR="00F30702">
        <w:rPr>
          <w:lang w:eastAsia="zh-TW"/>
        </w:rPr>
        <w:t>BW</w:t>
      </w:r>
      <w:r w:rsidR="002A7216">
        <w:rPr>
          <w:lang w:eastAsia="zh-TW"/>
        </w:rPr>
        <w:t>P switch interruption, including</w:t>
      </w:r>
    </w:p>
    <w:p w:rsidR="004D0B40" w:rsidRPr="005917E4" w:rsidRDefault="00B07D53" w:rsidP="004D0B40">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4D0B40">
        <w:rPr>
          <w:rFonts w:ascii="Calibri" w:eastAsia="新細明體" w:hAnsi="Calibri" w:cs="Calibri"/>
          <w:b/>
          <w:sz w:val="24"/>
          <w:szCs w:val="24"/>
          <w:lang w:eastAsia="zh-TW"/>
        </w:rPr>
        <w:t>RRC</w:t>
      </w:r>
      <w:r w:rsidR="004D0B40" w:rsidRPr="004D0B40">
        <w:rPr>
          <w:rFonts w:ascii="Calibri" w:eastAsia="新細明體" w:hAnsi="Calibri" w:cs="Calibri"/>
          <w:b/>
          <w:sz w:val="24"/>
          <w:szCs w:val="24"/>
          <w:lang w:eastAsia="zh-TW"/>
        </w:rPr>
        <w:t>-based BWP switc</w:t>
      </w:r>
      <w:r w:rsidR="004D0B40">
        <w:rPr>
          <w:rFonts w:ascii="Calibri" w:eastAsia="新細明體" w:hAnsi="Calibri" w:cs="Calibri"/>
          <w:b/>
          <w:sz w:val="24"/>
          <w:szCs w:val="24"/>
          <w:lang w:eastAsia="zh-TW"/>
        </w:rPr>
        <w:t>h</w:t>
      </w:r>
    </w:p>
    <w:p w:rsidR="005B3688" w:rsidRDefault="0076201B" w:rsidP="0076201B">
      <w:pPr>
        <w:jc w:val="both"/>
      </w:pPr>
      <w:r w:rsidRPr="0076201B">
        <w:rPr>
          <w:rFonts w:hint="eastAsia"/>
        </w:rPr>
        <w:t xml:space="preserve">In </w:t>
      </w:r>
      <w:r>
        <w:t xml:space="preserve">our understanding, the interruptions for BWP switch happens during the RRC </w:t>
      </w:r>
      <w:r w:rsidR="005B3688">
        <w:t>procedure delay</w:t>
      </w:r>
      <w:r>
        <w:t xml:space="preserve">, which is </w:t>
      </w:r>
      <w:r w:rsidRPr="0076201B">
        <w:t>T</w:t>
      </w:r>
      <w:r w:rsidRPr="0076201B">
        <w:rPr>
          <w:vertAlign w:val="subscript"/>
        </w:rPr>
        <w:t>RRC_delay</w:t>
      </w:r>
      <w:r w:rsidRPr="0076201B">
        <w:t xml:space="preserve"> + T</w:t>
      </w:r>
      <w:r w:rsidRPr="0076201B">
        <w:rPr>
          <w:vertAlign w:val="subscript"/>
        </w:rPr>
        <w:t>BWPswitchDelayRRC</w:t>
      </w:r>
      <w:r w:rsidRPr="0076201B">
        <w:t xml:space="preserve"> </w:t>
      </w:r>
      <w:r>
        <w:t xml:space="preserve">according to [1]. </w:t>
      </w:r>
    </w:p>
    <w:p w:rsidR="00DF2AE0" w:rsidRDefault="005B3688" w:rsidP="0076201B">
      <w:pPr>
        <w:jc w:val="both"/>
      </w:pPr>
      <w:r>
        <w:t>A</w:t>
      </w:r>
      <w:r w:rsidR="00DF2AE0">
        <w:t xml:space="preserve">ccording to TS 38.331, the overall RRC procedure delay is extended due to BWP switch. This means UE has to be </w:t>
      </w:r>
      <w:r w:rsidR="00DF2AE0" w:rsidRPr="00645E3C">
        <w:t xml:space="preserve">ready for the reception of uplink grant </w:t>
      </w:r>
      <w:r w:rsidR="00DF2AE0">
        <w:t xml:space="preserve">on the new BWP. In other words, UE’s behavior remains undefined during the whole period of </w:t>
      </w:r>
      <w:r w:rsidR="00DF2AE0" w:rsidRPr="0076201B">
        <w:t>T</w:t>
      </w:r>
      <w:r w:rsidR="00DF2AE0" w:rsidRPr="0076201B">
        <w:rPr>
          <w:vertAlign w:val="subscript"/>
        </w:rPr>
        <w:t>RRC_delay</w:t>
      </w:r>
      <w:r w:rsidR="00DF2AE0" w:rsidRPr="0076201B">
        <w:t xml:space="preserve"> + T</w:t>
      </w:r>
      <w:r w:rsidR="00DF2AE0" w:rsidRPr="0076201B">
        <w:rPr>
          <w:vertAlign w:val="subscript"/>
        </w:rPr>
        <w:t>BWPswitchDelayRRC</w:t>
      </w:r>
      <w:r w:rsidR="00DF2AE0" w:rsidRPr="00DF2AE0">
        <w:t>.</w:t>
      </w:r>
      <w:r w:rsidR="00DF2AE0">
        <w:t xml:space="preserve"> </w:t>
      </w:r>
    </w:p>
    <w:tbl>
      <w:tblPr>
        <w:tblStyle w:val="ad"/>
        <w:tblW w:w="11199" w:type="dxa"/>
        <w:tblInd w:w="-714" w:type="dxa"/>
        <w:tblLook w:val="04A0" w:firstRow="1" w:lastRow="0" w:firstColumn="1" w:lastColumn="0" w:noHBand="0" w:noVBand="1"/>
      </w:tblPr>
      <w:tblGrid>
        <w:gridCol w:w="11199"/>
      </w:tblGrid>
      <w:tr w:rsidR="00DF2AE0" w:rsidTr="007E7589">
        <w:tc>
          <w:tcPr>
            <w:tcW w:w="11199" w:type="dxa"/>
          </w:tcPr>
          <w:p w:rsidR="00DF2AE0" w:rsidRPr="00DF2AE0" w:rsidRDefault="00DF2AE0" w:rsidP="00DF2AE0">
            <w:pPr>
              <w:rPr>
                <w:sz w:val="20"/>
              </w:rPr>
            </w:pPr>
            <w:r w:rsidRPr="00DF2AE0">
              <w:rPr>
                <w:sz w:val="20"/>
              </w:rPr>
              <w:t xml:space="preserve">The UE performance requirements for </w:t>
            </w:r>
            <w:smartTag w:uri="urn:schemas-microsoft-com:office:smarttags" w:element="stockticker">
              <w:r w:rsidRPr="00DF2AE0">
                <w:rPr>
                  <w:sz w:val="20"/>
                </w:rPr>
                <w:t>RRC</w:t>
              </w:r>
            </w:smartTag>
            <w:r w:rsidRPr="00DF2AE0">
              <w:rPr>
                <w:sz w:val="20"/>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DF2AE0">
              <w:rPr>
                <w:sz w:val="20"/>
                <w:highlight w:val="yellow"/>
              </w:rPr>
              <w:t>In case the RRC procedure triggers BWP switching, the RRC procedure delay is the value defined in the following table plus the BWP switching delay defined in TS 38.133 [14], FFS section</w:t>
            </w:r>
            <w:r w:rsidRPr="00DF2AE0">
              <w:rPr>
                <w:sz w:val="20"/>
              </w:rPr>
              <w:t>.</w:t>
            </w:r>
          </w:p>
          <w:p w:rsidR="00DF2AE0" w:rsidRPr="00645E3C" w:rsidRDefault="00DF2AE0" w:rsidP="00DF2AE0">
            <w:pPr>
              <w:pStyle w:val="TH"/>
              <w:rPr>
                <w:lang w:val="en-GB"/>
              </w:rPr>
            </w:pPr>
            <w:r w:rsidRPr="00645E3C">
              <w:rPr>
                <w:lang w:val="en-GB"/>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6.6pt" o:ole="">
                  <v:imagedata r:id="rId8" o:title=""/>
                </v:shape>
                <o:OLEObject Type="Embed" ProgID="Visio.Drawing.11" ShapeID="_x0000_i1025" DrawAspect="Content" ObjectID="_1615652003" r:id="rId9"/>
              </w:object>
            </w:r>
          </w:p>
          <w:p w:rsidR="00DF2AE0" w:rsidRDefault="00DF2AE0" w:rsidP="007E7589">
            <w:pPr>
              <w:jc w:val="center"/>
              <w:rPr>
                <w:b/>
              </w:rPr>
            </w:pPr>
            <w:r w:rsidRPr="007E7589">
              <w:rPr>
                <w:b/>
              </w:rPr>
              <w:t>Figure 12.1-1: Illustration of RRC procedure delay</w:t>
            </w:r>
          </w:p>
          <w:p w:rsidR="007E7589" w:rsidRPr="007E7589" w:rsidRDefault="007E7589" w:rsidP="007E7589">
            <w:pPr>
              <w:jc w:val="center"/>
              <w:rPr>
                <w:b/>
              </w:rPr>
            </w:pPr>
          </w:p>
          <w:p w:rsidR="007E7589" w:rsidRPr="007E7589" w:rsidRDefault="007E7589" w:rsidP="007E7589">
            <w:pPr>
              <w:jc w:val="center"/>
              <w:rPr>
                <w:b/>
              </w:rPr>
            </w:pPr>
            <w:r w:rsidRPr="007E7589">
              <w:rPr>
                <w:b/>
              </w:rPr>
              <w:t xml:space="preserve">Table 12.1-1: UE performance requirements for </w:t>
            </w:r>
            <w:smartTag w:uri="urn:schemas-microsoft-com:office:smarttags" w:element="stockticker">
              <w:r w:rsidRPr="007E7589">
                <w:rPr>
                  <w:b/>
                </w:rPr>
                <w:t>RRC</w:t>
              </w:r>
            </w:smartTag>
            <w:r w:rsidRPr="007E7589">
              <w:rPr>
                <w:b/>
              </w:rPr>
              <w:t xml:space="preserve"> procedures for UEs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126"/>
              <w:gridCol w:w="3544"/>
              <w:gridCol w:w="709"/>
              <w:gridCol w:w="1843"/>
            </w:tblGrid>
            <w:tr w:rsidR="000B0B28" w:rsidRPr="007E7589" w:rsidTr="003A7B84">
              <w:trPr>
                <w:cantSplit/>
                <w:tblHeader/>
                <w:jc w:val="center"/>
              </w:trPr>
              <w:tc>
                <w:tcPr>
                  <w:tcW w:w="243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center"/>
                    <w:rPr>
                      <w:b/>
                      <w:sz w:val="18"/>
                      <w:szCs w:val="18"/>
                    </w:rPr>
                  </w:pPr>
                  <w:r w:rsidRPr="003A7B84">
                    <w:rPr>
                      <w:b/>
                      <w:sz w:val="18"/>
                      <w:szCs w:val="18"/>
                    </w:rPr>
                    <w:t>Procedure title: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center"/>
                    <w:rPr>
                      <w:b/>
                      <w:sz w:val="18"/>
                      <w:szCs w:val="18"/>
                    </w:rPr>
                  </w:pPr>
                  <w:r w:rsidRPr="003A7B84">
                    <w:rPr>
                      <w:b/>
                      <w:sz w:val="18"/>
                      <w:szCs w:val="18"/>
                    </w:rPr>
                    <w:t>Network -&gt; UE</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center"/>
                    <w:rPr>
                      <w:b/>
                      <w:sz w:val="18"/>
                      <w:szCs w:val="18"/>
                    </w:rPr>
                  </w:pPr>
                  <w:r w:rsidRPr="003A7B84">
                    <w:rPr>
                      <w:b/>
                      <w:sz w:val="18"/>
                      <w:szCs w:val="18"/>
                    </w:rPr>
                    <w:t>UE -&gt; Network</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center"/>
                    <w:rPr>
                      <w:b/>
                      <w:sz w:val="18"/>
                      <w:szCs w:val="18"/>
                    </w:rPr>
                  </w:pPr>
                  <w:r w:rsidRPr="003A7B84">
                    <w:rPr>
                      <w:b/>
                      <w:sz w:val="18"/>
                      <w:szCs w:val="18"/>
                    </w:rPr>
                    <w:t>Value [ms]</w:t>
                  </w:r>
                </w:p>
              </w:tc>
              <w:tc>
                <w:tcPr>
                  <w:tcW w:w="1843"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center"/>
                    <w:rPr>
                      <w:b/>
                      <w:sz w:val="18"/>
                      <w:szCs w:val="18"/>
                    </w:rPr>
                  </w:pPr>
                  <w:r w:rsidRPr="003A7B84">
                    <w:rPr>
                      <w:b/>
                      <w:sz w:val="18"/>
                      <w:szCs w:val="18"/>
                    </w:rPr>
                    <w:t>Notes</w:t>
                  </w:r>
                </w:p>
              </w:tc>
            </w:tr>
            <w:tr w:rsidR="000B0B28" w:rsidRPr="007E7589" w:rsidTr="009B615E">
              <w:trPr>
                <w:cantSplit/>
                <w:jc w:val="center"/>
              </w:trPr>
              <w:tc>
                <w:tcPr>
                  <w:tcW w:w="10661" w:type="dxa"/>
                  <w:gridSpan w:val="5"/>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rPr>
                      <w:b/>
                      <w:sz w:val="18"/>
                      <w:szCs w:val="18"/>
                    </w:rPr>
                  </w:pPr>
                  <w:smartTag w:uri="urn:schemas-microsoft-com:office:smarttags" w:element="stockticker">
                    <w:r w:rsidRPr="003A7B84">
                      <w:rPr>
                        <w:b/>
                        <w:sz w:val="18"/>
                        <w:szCs w:val="18"/>
                      </w:rPr>
                      <w:t>RRC</w:t>
                    </w:r>
                  </w:smartTag>
                  <w:r w:rsidRPr="003A7B84">
                    <w:rPr>
                      <w:b/>
                      <w:sz w:val="18"/>
                      <w:szCs w:val="18"/>
                    </w:rPr>
                    <w:t xml:space="preserve"> Connection Control Procedures</w:t>
                  </w: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reconfiguration</w:t>
                  </w:r>
                </w:p>
                <w:p w:rsidR="000B0B28" w:rsidRPr="003A7B84" w:rsidRDefault="000B0B28" w:rsidP="000B0B28">
                  <w:pPr>
                    <w:spacing w:after="0"/>
                    <w:rPr>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10</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reconfiguration (scell addition/release)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16</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reconfiguration (SCG establishment/ modification/ release)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16</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lastRenderedPageBreak/>
                    <w:t>RRC setup</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RRCSetup</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10</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Release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RRCRelease</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NA</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re-establishment</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RRCReestablishment</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FFS</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resume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RRCResume</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10</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RRC resume (scell addition/release)</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RRCResume</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16</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Initial security activation</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SecurityModeCommand</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5</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 xml:space="preserve">Initial security activation + </w:t>
                  </w:r>
                  <w:smartTag w:uri="urn:schemas-microsoft-com:office:smarttags" w:element="stockticker">
                    <w:r w:rsidRPr="003A7B84">
                      <w:rPr>
                        <w:sz w:val="18"/>
                        <w:szCs w:val="18"/>
                      </w:rPr>
                      <w:t>RRC</w:t>
                    </w:r>
                  </w:smartTag>
                  <w:r w:rsidRPr="003A7B84">
                    <w:rPr>
                      <w:sz w:val="18"/>
                      <w:szCs w:val="18"/>
                    </w:rPr>
                    <w:t xml:space="preserve"> reconfiguration</w:t>
                  </w:r>
                </w:p>
              </w:tc>
              <w:tc>
                <w:tcPr>
                  <w:tcW w:w="2126"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SecurityModeCommand, RRCReconfiguration</w:t>
                  </w:r>
                </w:p>
              </w:tc>
              <w:tc>
                <w:tcPr>
                  <w:tcW w:w="3544"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0B0B28" w:rsidRPr="003A7B84" w:rsidRDefault="000B0B28" w:rsidP="000B0B28">
                  <w:pPr>
                    <w:spacing w:after="0"/>
                    <w:jc w:val="both"/>
                    <w:rPr>
                      <w:sz w:val="18"/>
                      <w:szCs w:val="18"/>
                    </w:rPr>
                  </w:pPr>
                  <w:r w:rsidRPr="003A7B84">
                    <w:rPr>
                      <w:sz w:val="18"/>
                      <w:szCs w:val="18"/>
                    </w:rPr>
                    <w:t>FFS</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The two DL messages are transmitted in the same TTI</w:t>
                  </w:r>
                </w:p>
              </w:tc>
            </w:tr>
            <w:tr w:rsidR="000B0B28" w:rsidRPr="007E7589" w:rsidTr="009B615E">
              <w:trPr>
                <w:cantSplit/>
                <w:jc w:val="center"/>
              </w:trPr>
              <w:tc>
                <w:tcPr>
                  <w:tcW w:w="10661" w:type="dxa"/>
                  <w:gridSpan w:val="5"/>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Other procedures</w:t>
                  </w: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UE assistance information</w:t>
                  </w:r>
                </w:p>
              </w:tc>
              <w:tc>
                <w:tcPr>
                  <w:tcW w:w="2126"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p>
              </w:tc>
              <w:tc>
                <w:tcPr>
                  <w:tcW w:w="3544"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UEAssistanceInformation</w:t>
                  </w:r>
                </w:p>
              </w:tc>
              <w:tc>
                <w:tcPr>
                  <w:tcW w:w="70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NA</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UE capability transfer</w:t>
                  </w:r>
                </w:p>
              </w:tc>
              <w:tc>
                <w:tcPr>
                  <w:tcW w:w="2126"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UECapabilityEnquiry</w:t>
                  </w:r>
                </w:p>
              </w:tc>
              <w:tc>
                <w:tcPr>
                  <w:tcW w:w="3544"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UECapabilityInformation</w:t>
                  </w:r>
                </w:p>
              </w:tc>
              <w:tc>
                <w:tcPr>
                  <w:tcW w:w="70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FFS</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r w:rsidR="000B0B28" w:rsidRPr="007E7589" w:rsidTr="003A7B84">
              <w:trPr>
                <w:cantSplit/>
                <w:jc w:val="center"/>
              </w:trPr>
              <w:tc>
                <w:tcPr>
                  <w:tcW w:w="243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rPr>
                      <w:sz w:val="18"/>
                      <w:szCs w:val="18"/>
                    </w:rPr>
                  </w:pPr>
                  <w:r w:rsidRPr="003A7B84">
                    <w:rPr>
                      <w:sz w:val="18"/>
                      <w:szCs w:val="18"/>
                    </w:rPr>
                    <w:t>Counter check</w:t>
                  </w:r>
                </w:p>
              </w:tc>
              <w:tc>
                <w:tcPr>
                  <w:tcW w:w="2126"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CounterCheck</w:t>
                  </w:r>
                </w:p>
              </w:tc>
              <w:tc>
                <w:tcPr>
                  <w:tcW w:w="3544"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CounterCheckResponse</w:t>
                  </w:r>
                </w:p>
              </w:tc>
              <w:tc>
                <w:tcPr>
                  <w:tcW w:w="709"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both"/>
                    <w:rPr>
                      <w:sz w:val="18"/>
                      <w:szCs w:val="18"/>
                    </w:rPr>
                  </w:pPr>
                  <w:r w:rsidRPr="003A7B84">
                    <w:rPr>
                      <w:sz w:val="18"/>
                      <w:szCs w:val="18"/>
                    </w:rPr>
                    <w:t>5</w:t>
                  </w:r>
                </w:p>
              </w:tc>
              <w:tc>
                <w:tcPr>
                  <w:tcW w:w="1843" w:type="dxa"/>
                  <w:tcBorders>
                    <w:top w:val="single" w:sz="4" w:space="0" w:color="auto"/>
                    <w:left w:val="single" w:sz="4" w:space="0" w:color="auto"/>
                    <w:bottom w:val="single" w:sz="4" w:space="0" w:color="auto"/>
                    <w:right w:val="single" w:sz="4" w:space="0" w:color="auto"/>
                  </w:tcBorders>
                </w:tcPr>
                <w:p w:rsidR="000B0B28" w:rsidRPr="003A7B84" w:rsidRDefault="000B0B28" w:rsidP="000B0B28">
                  <w:pPr>
                    <w:spacing w:after="0"/>
                    <w:jc w:val="center"/>
                    <w:rPr>
                      <w:sz w:val="18"/>
                      <w:szCs w:val="18"/>
                    </w:rPr>
                  </w:pPr>
                </w:p>
              </w:tc>
            </w:tr>
          </w:tbl>
          <w:p w:rsidR="000B0B28" w:rsidRPr="00DF2AE0" w:rsidRDefault="000B0B28" w:rsidP="00DF2AE0">
            <w:pPr>
              <w:pStyle w:val="TF"/>
              <w:rPr>
                <w:lang w:val="en-GB"/>
              </w:rPr>
            </w:pPr>
          </w:p>
        </w:tc>
      </w:tr>
    </w:tbl>
    <w:p w:rsidR="00DF2AE0" w:rsidRDefault="00DF2AE0" w:rsidP="0076201B">
      <w:pPr>
        <w:jc w:val="both"/>
      </w:pPr>
    </w:p>
    <w:p w:rsidR="00DF2AE0" w:rsidRPr="00DF2AE0" w:rsidRDefault="00DF2AE0" w:rsidP="0076201B">
      <w:pPr>
        <w:jc w:val="both"/>
      </w:pPr>
      <w:r>
        <w:t xml:space="preserve">Since UE behavior during RRC processing delay is undefined, there is no need to further specify interruption requirements for RRC-based BWP switch. </w:t>
      </w:r>
    </w:p>
    <w:p w:rsidR="0076201B" w:rsidRDefault="0076201B" w:rsidP="00ED6BF8">
      <w:pPr>
        <w:jc w:val="both"/>
        <w:rPr>
          <w:rFonts w:ascii="Times New Roman" w:eastAsia="SimSun" w:hAnsi="Times New Roman" w:cs="Times New Roman"/>
          <w:b/>
          <w:sz w:val="20"/>
          <w:szCs w:val="20"/>
          <w:lang w:eastAsia="x-none"/>
        </w:rPr>
      </w:pPr>
      <w:bookmarkStart w:id="7" w:name="_Ref638810"/>
      <w:r w:rsidRPr="0076201B">
        <w:rPr>
          <w:rFonts w:ascii="Times New Roman" w:eastAsia="SimSun" w:hAnsi="Times New Roman" w:cs="Times New Roman"/>
          <w:b/>
          <w:sz w:val="20"/>
          <w:szCs w:val="20"/>
          <w:lang w:val="x-none" w:eastAsia="x-none"/>
        </w:rPr>
        <w:t xml:space="preserve">Proposal </w:t>
      </w:r>
      <w:r w:rsidRPr="0076201B">
        <w:rPr>
          <w:rFonts w:ascii="Times New Roman" w:eastAsia="SimSun" w:hAnsi="Times New Roman" w:cs="Times New Roman"/>
          <w:b/>
          <w:sz w:val="20"/>
          <w:szCs w:val="20"/>
          <w:lang w:val="x-none" w:eastAsia="x-none"/>
        </w:rPr>
        <w:fldChar w:fldCharType="begin"/>
      </w:r>
      <w:r w:rsidRPr="0076201B">
        <w:rPr>
          <w:rFonts w:ascii="Times New Roman" w:eastAsia="SimSun" w:hAnsi="Times New Roman" w:cs="Times New Roman"/>
          <w:b/>
          <w:sz w:val="20"/>
          <w:szCs w:val="20"/>
          <w:lang w:val="x-none" w:eastAsia="x-none"/>
        </w:rPr>
        <w:instrText xml:space="preserve"> SEQ Proposal \* ARABIC </w:instrText>
      </w:r>
      <w:r w:rsidRPr="0076201B">
        <w:rPr>
          <w:rFonts w:ascii="Times New Roman" w:eastAsia="SimSun" w:hAnsi="Times New Roman" w:cs="Times New Roman"/>
          <w:b/>
          <w:sz w:val="20"/>
          <w:szCs w:val="20"/>
          <w:lang w:val="x-none" w:eastAsia="x-none"/>
        </w:rPr>
        <w:fldChar w:fldCharType="separate"/>
      </w:r>
      <w:r w:rsidR="00DF2AE0">
        <w:rPr>
          <w:rFonts w:ascii="Times New Roman" w:eastAsia="SimSun" w:hAnsi="Times New Roman" w:cs="Times New Roman"/>
          <w:b/>
          <w:noProof/>
          <w:sz w:val="20"/>
          <w:szCs w:val="20"/>
          <w:lang w:val="x-none" w:eastAsia="x-none"/>
        </w:rPr>
        <w:t>1</w:t>
      </w:r>
      <w:r w:rsidRPr="0076201B">
        <w:rPr>
          <w:rFonts w:ascii="Times New Roman" w:eastAsia="SimSun" w:hAnsi="Times New Roman" w:cs="Times New Roman"/>
          <w:b/>
          <w:sz w:val="20"/>
          <w:szCs w:val="20"/>
          <w:lang w:val="x-none" w:eastAsia="x-none"/>
        </w:rPr>
        <w:fldChar w:fldCharType="end"/>
      </w:r>
      <w:r w:rsidRPr="0076201B">
        <w:rPr>
          <w:rFonts w:ascii="Times New Roman" w:eastAsia="SimSun" w:hAnsi="Times New Roman" w:cs="Times New Roman"/>
          <w:b/>
          <w:sz w:val="20"/>
          <w:szCs w:val="20"/>
          <w:lang w:val="x-none" w:eastAsia="x-none"/>
        </w:rPr>
        <w:t xml:space="preserve">: </w:t>
      </w:r>
      <w:r>
        <w:rPr>
          <w:rFonts w:ascii="Times New Roman" w:eastAsia="SimSun" w:hAnsi="Times New Roman" w:cs="Times New Roman"/>
          <w:b/>
          <w:sz w:val="20"/>
          <w:szCs w:val="20"/>
          <w:lang w:eastAsia="x-none"/>
        </w:rPr>
        <w:t>Do not specify interruption requirements for RRC-based BWP switch.</w:t>
      </w:r>
      <w:bookmarkEnd w:id="7"/>
    </w:p>
    <w:p w:rsidR="00DF2AE0" w:rsidRPr="00DF2AE0" w:rsidRDefault="00DF2AE0" w:rsidP="00ED6BF8">
      <w:pPr>
        <w:jc w:val="both"/>
      </w:pPr>
      <w:r w:rsidRPr="00DF2AE0">
        <w:t>In</w:t>
      </w:r>
      <w:r w:rsidRPr="00DF2AE0">
        <w:rPr>
          <w:rFonts w:hint="eastAsia"/>
        </w:rPr>
        <w:t xml:space="preserve"> </w:t>
      </w:r>
      <w:r w:rsidRPr="00DF2AE0">
        <w:t xml:space="preserve">case </w:t>
      </w:r>
      <w:r>
        <w:t xml:space="preserve">not defining any interruption requirement may </w:t>
      </w:r>
      <w:r w:rsidR="00D625BF">
        <w:t xml:space="preserve">be easily to be mis-understood that RRC-based BWP switch on 1 CC will never interrupt other CC. We think it may be also fine to capture some high-level description on the spec like “During the whole RRC procedure delay </w:t>
      </w:r>
      <w:r w:rsidR="00D625BF" w:rsidRPr="0076201B">
        <w:t>T</w:t>
      </w:r>
      <w:r w:rsidR="00D625BF" w:rsidRPr="0076201B">
        <w:rPr>
          <w:vertAlign w:val="subscript"/>
        </w:rPr>
        <w:t>RRC_delay</w:t>
      </w:r>
      <w:r w:rsidR="00D625BF" w:rsidRPr="0076201B">
        <w:t xml:space="preserve"> + T</w:t>
      </w:r>
      <w:r w:rsidR="00D625BF" w:rsidRPr="0076201B">
        <w:rPr>
          <w:vertAlign w:val="subscript"/>
        </w:rPr>
        <w:t>BWPswitchDelayRRC</w:t>
      </w:r>
      <w:r w:rsidR="00D625BF">
        <w:t>, UE is allowed to cause interruption to other active serving cells due to switching its active BWP of a serving cell. There is no requirement for the starting time and length for this interruption.”</w:t>
      </w:r>
    </w:p>
    <w:p w:rsidR="00D625BF" w:rsidRPr="00D625BF" w:rsidRDefault="00D625BF" w:rsidP="00D625BF">
      <w:pPr>
        <w:jc w:val="both"/>
        <w:rPr>
          <w:rFonts w:ascii="Times New Roman" w:eastAsia="SimSun" w:hAnsi="Times New Roman" w:cs="Times New Roman"/>
          <w:b/>
          <w:sz w:val="20"/>
          <w:szCs w:val="20"/>
          <w:lang w:eastAsia="x-none"/>
        </w:rPr>
      </w:pPr>
      <w:bookmarkStart w:id="8" w:name="_Ref4329481"/>
      <w:r w:rsidRPr="0076201B">
        <w:rPr>
          <w:rFonts w:ascii="Times New Roman" w:eastAsia="SimSun" w:hAnsi="Times New Roman" w:cs="Times New Roman"/>
          <w:b/>
          <w:sz w:val="20"/>
          <w:szCs w:val="20"/>
          <w:lang w:val="x-none" w:eastAsia="x-none"/>
        </w:rPr>
        <w:t xml:space="preserve">Proposal </w:t>
      </w:r>
      <w:r w:rsidRPr="0076201B">
        <w:rPr>
          <w:rFonts w:ascii="Times New Roman" w:eastAsia="SimSun" w:hAnsi="Times New Roman" w:cs="Times New Roman"/>
          <w:b/>
          <w:sz w:val="20"/>
          <w:szCs w:val="20"/>
          <w:lang w:val="x-none" w:eastAsia="x-none"/>
        </w:rPr>
        <w:fldChar w:fldCharType="begin"/>
      </w:r>
      <w:r w:rsidRPr="0076201B">
        <w:rPr>
          <w:rFonts w:ascii="Times New Roman" w:eastAsia="SimSun" w:hAnsi="Times New Roman" w:cs="Times New Roman"/>
          <w:b/>
          <w:sz w:val="20"/>
          <w:szCs w:val="20"/>
          <w:lang w:val="x-none" w:eastAsia="x-none"/>
        </w:rPr>
        <w:instrText xml:space="preserve"> SEQ Proposal \* ARABIC </w:instrText>
      </w:r>
      <w:r w:rsidRPr="0076201B">
        <w:rPr>
          <w:rFonts w:ascii="Times New Roman" w:eastAsia="SimSun" w:hAnsi="Times New Roman" w:cs="Times New Roman"/>
          <w:b/>
          <w:sz w:val="20"/>
          <w:szCs w:val="20"/>
          <w:lang w:val="x-none" w:eastAsia="x-none"/>
        </w:rPr>
        <w:fldChar w:fldCharType="separate"/>
      </w:r>
      <w:r>
        <w:rPr>
          <w:rFonts w:ascii="Times New Roman" w:eastAsia="SimSun" w:hAnsi="Times New Roman" w:cs="Times New Roman"/>
          <w:b/>
          <w:noProof/>
          <w:sz w:val="20"/>
          <w:szCs w:val="20"/>
          <w:lang w:val="x-none" w:eastAsia="x-none"/>
        </w:rPr>
        <w:t>2</w:t>
      </w:r>
      <w:r w:rsidRPr="0076201B">
        <w:rPr>
          <w:rFonts w:ascii="Times New Roman" w:eastAsia="SimSun" w:hAnsi="Times New Roman" w:cs="Times New Roman"/>
          <w:b/>
          <w:sz w:val="20"/>
          <w:szCs w:val="20"/>
          <w:lang w:val="x-none" w:eastAsia="x-none"/>
        </w:rPr>
        <w:fldChar w:fldCharType="end"/>
      </w:r>
      <w:r w:rsidRPr="0076201B">
        <w:rPr>
          <w:rFonts w:ascii="Times New Roman" w:eastAsia="SimSun" w:hAnsi="Times New Roman" w:cs="Times New Roman"/>
          <w:b/>
          <w:sz w:val="20"/>
          <w:szCs w:val="20"/>
          <w:lang w:val="x-none" w:eastAsia="x-none"/>
        </w:rPr>
        <w:t xml:space="preserve">: </w:t>
      </w:r>
      <w:r>
        <w:rPr>
          <w:rFonts w:ascii="Times New Roman" w:eastAsia="SimSun" w:hAnsi="Times New Roman" w:cs="Times New Roman"/>
          <w:b/>
          <w:sz w:val="20"/>
          <w:szCs w:val="20"/>
          <w:lang w:eastAsia="x-none"/>
        </w:rPr>
        <w:t>Add a sentence in the spec: “</w:t>
      </w:r>
      <w:r w:rsidRPr="00D625BF">
        <w:rPr>
          <w:rFonts w:ascii="Times New Roman" w:eastAsia="SimSun" w:hAnsi="Times New Roman" w:cs="Times New Roman"/>
          <w:b/>
          <w:sz w:val="20"/>
          <w:szCs w:val="20"/>
          <w:lang w:eastAsia="x-none"/>
        </w:rPr>
        <w:t>During the whole RRC procedure delay T</w:t>
      </w:r>
      <w:r w:rsidRPr="00D625BF">
        <w:rPr>
          <w:rFonts w:ascii="Times New Roman" w:eastAsia="SimSun" w:hAnsi="Times New Roman" w:cs="Times New Roman"/>
          <w:b/>
          <w:sz w:val="20"/>
          <w:szCs w:val="20"/>
          <w:vertAlign w:val="subscript"/>
          <w:lang w:eastAsia="x-none"/>
        </w:rPr>
        <w:t>RRC_delay</w:t>
      </w:r>
      <w:r w:rsidRPr="00D625BF">
        <w:rPr>
          <w:rFonts w:ascii="Times New Roman" w:eastAsia="SimSun" w:hAnsi="Times New Roman" w:cs="Times New Roman"/>
          <w:b/>
          <w:sz w:val="20"/>
          <w:szCs w:val="20"/>
          <w:lang w:eastAsia="x-none"/>
        </w:rPr>
        <w:t xml:space="preserve"> + T</w:t>
      </w:r>
      <w:r w:rsidRPr="00D625BF">
        <w:rPr>
          <w:rFonts w:ascii="Times New Roman" w:eastAsia="SimSun" w:hAnsi="Times New Roman" w:cs="Times New Roman"/>
          <w:b/>
          <w:sz w:val="20"/>
          <w:szCs w:val="20"/>
          <w:vertAlign w:val="subscript"/>
          <w:lang w:eastAsia="x-none"/>
        </w:rPr>
        <w:t>BWPswitchDelayRRC</w:t>
      </w:r>
      <w:r w:rsidRPr="00D625BF">
        <w:rPr>
          <w:rFonts w:ascii="Times New Roman" w:eastAsia="SimSun" w:hAnsi="Times New Roman" w:cs="Times New Roman"/>
          <w:b/>
          <w:sz w:val="20"/>
          <w:szCs w:val="20"/>
          <w:lang w:eastAsia="x-none"/>
        </w:rPr>
        <w:t>, UE is allowed to cause interruption to other active serving cells due to switching its active BWP of a serving cell. There is no requirement for the starting time and length for this interruption</w:t>
      </w:r>
      <w:r w:rsidR="00924E1F">
        <w:rPr>
          <w:rFonts w:ascii="Times New Roman" w:eastAsia="SimSun" w:hAnsi="Times New Roman" w:cs="Times New Roman"/>
          <w:b/>
          <w:sz w:val="20"/>
          <w:szCs w:val="20"/>
          <w:lang w:eastAsia="x-none"/>
        </w:rPr>
        <w:t>.”</w:t>
      </w:r>
      <w:bookmarkEnd w:id="8"/>
    </w:p>
    <w:p w:rsidR="00DF2AE0" w:rsidRPr="00D625BF" w:rsidRDefault="00DF2AE0" w:rsidP="00ED6BF8">
      <w:pPr>
        <w:jc w:val="both"/>
        <w:rPr>
          <w:rFonts w:ascii="Times New Roman" w:eastAsia="SimSun" w:hAnsi="Times New Roman" w:cs="Times New Roman"/>
          <w:b/>
          <w:sz w:val="20"/>
          <w:szCs w:val="20"/>
          <w:lang w:eastAsia="x-none"/>
        </w:rPr>
      </w:pPr>
    </w:p>
    <w:p w:rsidR="00085372" w:rsidRDefault="00054EA7" w:rsidP="00054EA7">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4D0B40">
        <w:rPr>
          <w:rFonts w:ascii="Calibri" w:eastAsia="新細明體" w:hAnsi="Calibri" w:cs="Calibri"/>
          <w:b/>
          <w:color w:val="0D0D0D"/>
          <w:sz w:val="24"/>
          <w:szCs w:val="24"/>
          <w:lang w:eastAsia="zh-TW"/>
        </w:rPr>
        <w:tab/>
      </w:r>
      <w:r w:rsidR="00085372">
        <w:rPr>
          <w:rFonts w:ascii="Calibri" w:eastAsia="新細明體" w:hAnsi="Calibri" w:cs="Calibri"/>
          <w:b/>
          <w:color w:val="0D0D0D"/>
          <w:sz w:val="24"/>
          <w:szCs w:val="24"/>
          <w:lang w:eastAsia="zh-TW"/>
        </w:rPr>
        <w:t>Conclusions</w:t>
      </w:r>
    </w:p>
    <w:p w:rsidR="00AC359E"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924E1F">
        <w:rPr>
          <w:rFonts w:ascii="Calibri" w:eastAsia="新細明體" w:hAnsi="Calibri" w:cs="Calibri"/>
          <w:color w:val="0D0D0D"/>
          <w:lang w:eastAsia="zh-TW"/>
        </w:rPr>
        <w:t xml:space="preserve">RRC-based </w:t>
      </w:r>
      <w:r w:rsidR="00F72752">
        <w:rPr>
          <w:rFonts w:ascii="Calibri" w:eastAsia="新細明體" w:hAnsi="Calibri" w:cs="Calibri"/>
          <w:color w:val="0D0D0D"/>
          <w:lang w:eastAsia="zh-TW"/>
        </w:rPr>
        <w:t xml:space="preserve">BWP switching </w:t>
      </w:r>
      <w:r w:rsidR="00F27932">
        <w:rPr>
          <w:rFonts w:ascii="Calibri" w:eastAsia="新細明體" w:hAnsi="Calibri" w:cs="Calibri"/>
          <w:color w:val="0D0D0D"/>
          <w:lang w:eastAsia="zh-TW"/>
        </w:rPr>
        <w:t>interruption requirements</w:t>
      </w:r>
      <w:r w:rsidR="00F72752">
        <w:rPr>
          <w:rFonts w:ascii="Calibri" w:eastAsia="新細明體" w:hAnsi="Calibri" w:cs="Calibri"/>
          <w:color w:val="0D0D0D"/>
          <w:lang w:eastAsia="zh-TW"/>
        </w:rPr>
        <w:t>. We have the following proposals:</w:t>
      </w:r>
    </w:p>
    <w:p w:rsidR="00924E1F" w:rsidRDefault="00924E1F" w:rsidP="00AC359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_Ref638810 \h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76201B">
        <w:rPr>
          <w:rFonts w:ascii="Times New Roman" w:eastAsia="SimSun" w:hAnsi="Times New Roman" w:cs="Times New Roman"/>
          <w:b/>
          <w:sz w:val="20"/>
          <w:szCs w:val="20"/>
          <w:lang w:val="x-none" w:eastAsia="x-none"/>
        </w:rPr>
        <w:t xml:space="preserve">Proposal </w:t>
      </w:r>
      <w:r>
        <w:rPr>
          <w:rFonts w:ascii="Times New Roman" w:eastAsia="SimSun" w:hAnsi="Times New Roman" w:cs="Times New Roman"/>
          <w:b/>
          <w:noProof/>
          <w:sz w:val="20"/>
          <w:szCs w:val="20"/>
          <w:lang w:val="x-none" w:eastAsia="x-none"/>
        </w:rPr>
        <w:t>1</w:t>
      </w:r>
      <w:r w:rsidRPr="0076201B">
        <w:rPr>
          <w:rFonts w:ascii="Times New Roman" w:eastAsia="SimSun" w:hAnsi="Times New Roman" w:cs="Times New Roman"/>
          <w:b/>
          <w:sz w:val="20"/>
          <w:szCs w:val="20"/>
          <w:lang w:val="x-none" w:eastAsia="x-none"/>
        </w:rPr>
        <w:t xml:space="preserve">: </w:t>
      </w:r>
      <w:r>
        <w:rPr>
          <w:rFonts w:ascii="Times New Roman" w:eastAsia="SimSun" w:hAnsi="Times New Roman" w:cs="Times New Roman"/>
          <w:b/>
          <w:sz w:val="20"/>
          <w:szCs w:val="20"/>
          <w:lang w:eastAsia="x-none"/>
        </w:rPr>
        <w:t>Do not specify interruption requirements for RRC-based BWP switch.</w:t>
      </w:r>
      <w:r>
        <w:rPr>
          <w:rFonts w:ascii="Times New Roman" w:eastAsia="SimSun" w:hAnsi="Times New Roman" w:cs="Times New Roman"/>
          <w:b/>
          <w:sz w:val="20"/>
          <w:szCs w:val="20"/>
          <w:lang w:eastAsia="x-none"/>
        </w:rPr>
        <w:fldChar w:fldCharType="end"/>
      </w:r>
    </w:p>
    <w:p w:rsidR="00924E1F" w:rsidRPr="00BF44DE" w:rsidRDefault="00924E1F" w:rsidP="00AC359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_Ref4329481 \h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76201B">
        <w:rPr>
          <w:rFonts w:ascii="Times New Roman" w:eastAsia="SimSun" w:hAnsi="Times New Roman" w:cs="Times New Roman"/>
          <w:b/>
          <w:sz w:val="20"/>
          <w:szCs w:val="20"/>
          <w:lang w:val="x-none" w:eastAsia="x-none"/>
        </w:rPr>
        <w:t xml:space="preserve">Proposal </w:t>
      </w:r>
      <w:r>
        <w:rPr>
          <w:rFonts w:ascii="Times New Roman" w:eastAsia="SimSun" w:hAnsi="Times New Roman" w:cs="Times New Roman"/>
          <w:b/>
          <w:noProof/>
          <w:sz w:val="20"/>
          <w:szCs w:val="20"/>
          <w:lang w:val="x-none" w:eastAsia="x-none"/>
        </w:rPr>
        <w:t>2</w:t>
      </w:r>
      <w:r w:rsidRPr="0076201B">
        <w:rPr>
          <w:rFonts w:ascii="Times New Roman" w:eastAsia="SimSun" w:hAnsi="Times New Roman" w:cs="Times New Roman"/>
          <w:b/>
          <w:sz w:val="20"/>
          <w:szCs w:val="20"/>
          <w:lang w:val="x-none" w:eastAsia="x-none"/>
        </w:rPr>
        <w:t xml:space="preserve">: </w:t>
      </w:r>
      <w:r>
        <w:rPr>
          <w:rFonts w:ascii="Times New Roman" w:eastAsia="SimSun" w:hAnsi="Times New Roman" w:cs="Times New Roman"/>
          <w:b/>
          <w:sz w:val="20"/>
          <w:szCs w:val="20"/>
          <w:lang w:eastAsia="x-none"/>
        </w:rPr>
        <w:t>Add a sentence in the spec: “</w:t>
      </w:r>
      <w:r w:rsidRPr="00D625BF">
        <w:rPr>
          <w:rFonts w:ascii="Times New Roman" w:eastAsia="SimSun" w:hAnsi="Times New Roman" w:cs="Times New Roman"/>
          <w:b/>
          <w:sz w:val="20"/>
          <w:szCs w:val="20"/>
          <w:lang w:eastAsia="x-none"/>
        </w:rPr>
        <w:t>During the whole RRC procedure delay T</w:t>
      </w:r>
      <w:r w:rsidRPr="00D625BF">
        <w:rPr>
          <w:rFonts w:ascii="Times New Roman" w:eastAsia="SimSun" w:hAnsi="Times New Roman" w:cs="Times New Roman"/>
          <w:b/>
          <w:sz w:val="20"/>
          <w:szCs w:val="20"/>
          <w:vertAlign w:val="subscript"/>
          <w:lang w:eastAsia="x-none"/>
        </w:rPr>
        <w:t>RRC_delay</w:t>
      </w:r>
      <w:r w:rsidRPr="00D625BF">
        <w:rPr>
          <w:rFonts w:ascii="Times New Roman" w:eastAsia="SimSun" w:hAnsi="Times New Roman" w:cs="Times New Roman"/>
          <w:b/>
          <w:sz w:val="20"/>
          <w:szCs w:val="20"/>
          <w:lang w:eastAsia="x-none"/>
        </w:rPr>
        <w:t xml:space="preserve"> + T</w:t>
      </w:r>
      <w:r w:rsidRPr="00D625BF">
        <w:rPr>
          <w:rFonts w:ascii="Times New Roman" w:eastAsia="SimSun" w:hAnsi="Times New Roman" w:cs="Times New Roman"/>
          <w:b/>
          <w:sz w:val="20"/>
          <w:szCs w:val="20"/>
          <w:vertAlign w:val="subscript"/>
          <w:lang w:eastAsia="x-none"/>
        </w:rPr>
        <w:t>BWPswitchDelayRRC</w:t>
      </w:r>
      <w:r w:rsidRPr="00D625BF">
        <w:rPr>
          <w:rFonts w:ascii="Times New Roman" w:eastAsia="SimSun" w:hAnsi="Times New Roman" w:cs="Times New Roman"/>
          <w:b/>
          <w:sz w:val="20"/>
          <w:szCs w:val="20"/>
          <w:lang w:eastAsia="x-none"/>
        </w:rPr>
        <w:t>, UE is allowed to cause interruption to other active serving cells due to switching its active BWP of a serving cell. There is no requirement for the starting time and length for this interruption</w:t>
      </w:r>
      <w:r>
        <w:rPr>
          <w:rFonts w:ascii="Times New Roman" w:eastAsia="SimSun" w:hAnsi="Times New Roman" w:cs="Times New Roman"/>
          <w:b/>
          <w:sz w:val="20"/>
          <w:szCs w:val="20"/>
          <w:lang w:eastAsia="x-none"/>
        </w:rPr>
        <w:t>.”</w:t>
      </w:r>
      <w:r>
        <w:rPr>
          <w:rFonts w:ascii="Times New Roman" w:eastAsia="SimSun" w:hAnsi="Times New Roman" w:cs="Times New Roman"/>
          <w:b/>
          <w:sz w:val="20"/>
          <w:szCs w:val="20"/>
          <w:lang w:eastAsia="x-none"/>
        </w:rPr>
        <w:fldChar w:fldCharType="end"/>
      </w:r>
    </w:p>
    <w:p w:rsidR="00AF7AA6" w:rsidRDefault="00054EA7"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257C38" w:rsidRDefault="00257C38" w:rsidP="00257C3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Pr="009D435E">
        <w:rPr>
          <w:rFonts w:ascii="Calibri" w:eastAsia="新細明體" w:hAnsi="Calibri" w:cs="Calibri"/>
          <w:color w:val="0D0D0D"/>
          <w:sz w:val="20"/>
          <w:lang w:eastAsia="zh-TW"/>
        </w:rPr>
        <w:t>R4-1816689</w:t>
      </w:r>
      <w:r>
        <w:rPr>
          <w:rFonts w:ascii="Calibri" w:eastAsia="新細明體" w:hAnsi="Calibri" w:cs="Calibri"/>
          <w:color w:val="0D0D0D"/>
          <w:sz w:val="20"/>
          <w:lang w:eastAsia="zh-TW"/>
        </w:rPr>
        <w:t>,</w:t>
      </w:r>
      <w:r w:rsidRPr="00613426">
        <w:rPr>
          <w:rFonts w:ascii="Calibri" w:eastAsia="新細明體" w:hAnsi="Calibri" w:cs="Calibri"/>
          <w:color w:val="0D0D0D"/>
          <w:sz w:val="20"/>
          <w:lang w:eastAsia="zh-TW"/>
        </w:rPr>
        <w:tab/>
      </w:r>
      <w:r>
        <w:rPr>
          <w:rFonts w:ascii="Calibri" w:eastAsia="新細明體" w:hAnsi="Calibri" w:cs="Calibri"/>
          <w:color w:val="0D0D0D"/>
          <w:sz w:val="20"/>
          <w:lang w:eastAsia="zh-TW"/>
        </w:rPr>
        <w:t>“</w:t>
      </w:r>
      <w:r w:rsidRPr="009D435E">
        <w:rPr>
          <w:rFonts w:ascii="Calibri" w:eastAsia="新細明體" w:hAnsi="Calibri" w:cs="Calibri"/>
          <w:color w:val="0D0D0D"/>
          <w:sz w:val="20"/>
          <w:lang w:val="en-GB" w:eastAsia="zh-TW"/>
        </w:rPr>
        <w:t>WF on RRC and MAC based BWP switching</w:t>
      </w:r>
      <w:r>
        <w:rPr>
          <w:rFonts w:ascii="Calibri" w:eastAsia="新細明體" w:hAnsi="Calibri" w:cs="Calibri"/>
          <w:color w:val="0D0D0D"/>
          <w:sz w:val="20"/>
          <w:lang w:eastAsia="zh-TW"/>
        </w:rPr>
        <w:t xml:space="preserve">”, </w:t>
      </w:r>
      <w:r w:rsidRPr="009D435E">
        <w:rPr>
          <w:rFonts w:ascii="Calibri" w:eastAsia="新細明體" w:hAnsi="Calibri" w:cs="Calibri"/>
          <w:color w:val="0D0D0D"/>
          <w:sz w:val="20"/>
          <w:lang w:eastAsia="zh-TW"/>
        </w:rPr>
        <w:t>Nokia, Nokia Shanghai Bell, Mediatek Inc.</w:t>
      </w:r>
    </w:p>
    <w:p w:rsidR="0076201B" w:rsidRPr="00257C38" w:rsidRDefault="0076201B">
      <w:pPr>
        <w:rPr>
          <w:rFonts w:eastAsia="新細明體"/>
          <w:lang w:eastAsia="zh-TW"/>
        </w:rPr>
      </w:pPr>
    </w:p>
    <w:sectPr w:rsidR="0076201B" w:rsidRPr="00257C3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33B" w:rsidRDefault="00FF433B" w:rsidP="008B46F2">
      <w:pPr>
        <w:spacing w:after="0" w:line="240" w:lineRule="auto"/>
      </w:pPr>
      <w:r>
        <w:separator/>
      </w:r>
    </w:p>
  </w:endnote>
  <w:endnote w:type="continuationSeparator" w:id="0">
    <w:p w:rsidR="00FF433B" w:rsidRDefault="00FF433B"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33B" w:rsidRDefault="00FF433B" w:rsidP="008B46F2">
      <w:pPr>
        <w:spacing w:after="0" w:line="240" w:lineRule="auto"/>
      </w:pPr>
      <w:r>
        <w:separator/>
      </w:r>
    </w:p>
  </w:footnote>
  <w:footnote w:type="continuationSeparator" w:id="0">
    <w:p w:rsidR="00FF433B" w:rsidRDefault="00FF433B"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1"/>
  </w:num>
  <w:num w:numId="4">
    <w:abstractNumId w:val="1"/>
  </w:num>
  <w:num w:numId="5">
    <w:abstractNumId w:val="21"/>
  </w:num>
  <w:num w:numId="6">
    <w:abstractNumId w:val="22"/>
  </w:num>
  <w:num w:numId="7">
    <w:abstractNumId w:val="15"/>
  </w:num>
  <w:num w:numId="8">
    <w:abstractNumId w:val="6"/>
  </w:num>
  <w:num w:numId="9">
    <w:abstractNumId w:val="7"/>
  </w:num>
  <w:num w:numId="10">
    <w:abstractNumId w:val="0"/>
  </w:num>
  <w:num w:numId="11">
    <w:abstractNumId w:val="14"/>
  </w:num>
  <w:num w:numId="12">
    <w:abstractNumId w:val="20"/>
  </w:num>
  <w:num w:numId="13">
    <w:abstractNumId w:val="8"/>
  </w:num>
  <w:num w:numId="14">
    <w:abstractNumId w:val="23"/>
  </w:num>
  <w:num w:numId="15">
    <w:abstractNumId w:val="13"/>
  </w:num>
  <w:num w:numId="16">
    <w:abstractNumId w:val="5"/>
  </w:num>
  <w:num w:numId="17">
    <w:abstractNumId w:val="17"/>
  </w:num>
  <w:num w:numId="18">
    <w:abstractNumId w:val="10"/>
  </w:num>
  <w:num w:numId="19">
    <w:abstractNumId w:val="19"/>
  </w:num>
  <w:num w:numId="20">
    <w:abstractNumId w:val="16"/>
  </w:num>
  <w:num w:numId="21">
    <w:abstractNumId w:val="12"/>
  </w:num>
  <w:num w:numId="22">
    <w:abstractNumId w:val="4"/>
  </w:num>
  <w:num w:numId="23">
    <w:abstractNumId w:val="9"/>
  </w:num>
  <w:num w:numId="24">
    <w:abstractNumId w:val="3"/>
  </w:num>
  <w:num w:numId="2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2B2B"/>
    <w:rsid w:val="00045178"/>
    <w:rsid w:val="0004581B"/>
    <w:rsid w:val="00051BFF"/>
    <w:rsid w:val="00052C73"/>
    <w:rsid w:val="00053C66"/>
    <w:rsid w:val="00054EA7"/>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0B28"/>
    <w:rsid w:val="000B17EB"/>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4C04"/>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363A"/>
    <w:rsid w:val="001B579F"/>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57C38"/>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A7B84"/>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F0E9A"/>
    <w:rsid w:val="003F1A91"/>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978AF"/>
    <w:rsid w:val="004A5BF0"/>
    <w:rsid w:val="004A601B"/>
    <w:rsid w:val="004A6A31"/>
    <w:rsid w:val="004A7E06"/>
    <w:rsid w:val="004B2BFE"/>
    <w:rsid w:val="004B3278"/>
    <w:rsid w:val="004C0E5F"/>
    <w:rsid w:val="004C1E3A"/>
    <w:rsid w:val="004C40CC"/>
    <w:rsid w:val="004C5A8D"/>
    <w:rsid w:val="004C64BD"/>
    <w:rsid w:val="004C6C43"/>
    <w:rsid w:val="004D04F9"/>
    <w:rsid w:val="004D05EF"/>
    <w:rsid w:val="004D0B40"/>
    <w:rsid w:val="004D3DF9"/>
    <w:rsid w:val="004D4753"/>
    <w:rsid w:val="004D4E42"/>
    <w:rsid w:val="004E09E4"/>
    <w:rsid w:val="004E3927"/>
    <w:rsid w:val="004E4887"/>
    <w:rsid w:val="004E4955"/>
    <w:rsid w:val="004F3668"/>
    <w:rsid w:val="004F497A"/>
    <w:rsid w:val="004F4ECE"/>
    <w:rsid w:val="004F77A6"/>
    <w:rsid w:val="00502D59"/>
    <w:rsid w:val="00503AD1"/>
    <w:rsid w:val="00505955"/>
    <w:rsid w:val="005059EE"/>
    <w:rsid w:val="00506AD8"/>
    <w:rsid w:val="00507D59"/>
    <w:rsid w:val="005109F5"/>
    <w:rsid w:val="0051229C"/>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3688"/>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3426"/>
    <w:rsid w:val="00614909"/>
    <w:rsid w:val="00614A7D"/>
    <w:rsid w:val="00615773"/>
    <w:rsid w:val="0061612E"/>
    <w:rsid w:val="00616A16"/>
    <w:rsid w:val="0062075C"/>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7556"/>
    <w:rsid w:val="006B76E4"/>
    <w:rsid w:val="006C02D2"/>
    <w:rsid w:val="006C0A64"/>
    <w:rsid w:val="006C4A2D"/>
    <w:rsid w:val="006D20C2"/>
    <w:rsid w:val="006E0653"/>
    <w:rsid w:val="006E081A"/>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01B"/>
    <w:rsid w:val="007626A3"/>
    <w:rsid w:val="007633BC"/>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0BDD"/>
    <w:rsid w:val="007E2F64"/>
    <w:rsid w:val="007E5F83"/>
    <w:rsid w:val="007E6279"/>
    <w:rsid w:val="007E6901"/>
    <w:rsid w:val="007E7589"/>
    <w:rsid w:val="007E767B"/>
    <w:rsid w:val="007E7F43"/>
    <w:rsid w:val="007F5938"/>
    <w:rsid w:val="00800788"/>
    <w:rsid w:val="0080175B"/>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89D"/>
    <w:rsid w:val="00850DD6"/>
    <w:rsid w:val="00853AAE"/>
    <w:rsid w:val="00855608"/>
    <w:rsid w:val="00856944"/>
    <w:rsid w:val="00863843"/>
    <w:rsid w:val="00864158"/>
    <w:rsid w:val="00864F8E"/>
    <w:rsid w:val="00865E0A"/>
    <w:rsid w:val="0087195F"/>
    <w:rsid w:val="00873DE4"/>
    <w:rsid w:val="008766EC"/>
    <w:rsid w:val="00880EA6"/>
    <w:rsid w:val="008821C1"/>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3A18"/>
    <w:rsid w:val="0090523B"/>
    <w:rsid w:val="00906066"/>
    <w:rsid w:val="00910BBC"/>
    <w:rsid w:val="009139BF"/>
    <w:rsid w:val="00913B23"/>
    <w:rsid w:val="009166AC"/>
    <w:rsid w:val="0091725A"/>
    <w:rsid w:val="00922EF9"/>
    <w:rsid w:val="0092372D"/>
    <w:rsid w:val="00924E1F"/>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CBD"/>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A7A14"/>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48C0"/>
    <w:rsid w:val="00A37352"/>
    <w:rsid w:val="00A37F9F"/>
    <w:rsid w:val="00A40DA0"/>
    <w:rsid w:val="00A447ED"/>
    <w:rsid w:val="00A44DFE"/>
    <w:rsid w:val="00A45F14"/>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09B6"/>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7AD"/>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30C7"/>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5782"/>
    <w:rsid w:val="00D4678A"/>
    <w:rsid w:val="00D50D1B"/>
    <w:rsid w:val="00D51787"/>
    <w:rsid w:val="00D52DD6"/>
    <w:rsid w:val="00D53BD4"/>
    <w:rsid w:val="00D560E1"/>
    <w:rsid w:val="00D60378"/>
    <w:rsid w:val="00D60BC0"/>
    <w:rsid w:val="00D60E64"/>
    <w:rsid w:val="00D625BF"/>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1139"/>
    <w:rsid w:val="00DF16F2"/>
    <w:rsid w:val="00DF2AE0"/>
    <w:rsid w:val="00DF39E2"/>
    <w:rsid w:val="00DF639F"/>
    <w:rsid w:val="00E00046"/>
    <w:rsid w:val="00E00789"/>
    <w:rsid w:val="00E01360"/>
    <w:rsid w:val="00E055C3"/>
    <w:rsid w:val="00E10336"/>
    <w:rsid w:val="00E1073D"/>
    <w:rsid w:val="00E1201C"/>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3AB6"/>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207"/>
    <w:rsid w:val="00EE5FD8"/>
    <w:rsid w:val="00EE7AFA"/>
    <w:rsid w:val="00EF2D5A"/>
    <w:rsid w:val="00EF3642"/>
    <w:rsid w:val="00EF4168"/>
    <w:rsid w:val="00EF618A"/>
    <w:rsid w:val="00EF72D9"/>
    <w:rsid w:val="00EF7B95"/>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16F5"/>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 w:val="00FF4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F">
    <w:name w:val="TF"/>
    <w:basedOn w:val="TH"/>
    <w:link w:val="TFChar"/>
    <w:rsid w:val="00DF2AE0"/>
    <w:pPr>
      <w:keepNext w:val="0"/>
      <w:overflowPunct w:val="0"/>
      <w:autoSpaceDE w:val="0"/>
      <w:autoSpaceDN w:val="0"/>
      <w:adjustRightInd w:val="0"/>
      <w:spacing w:before="0" w:after="240" w:line="240" w:lineRule="auto"/>
      <w:textAlignment w:val="baseline"/>
    </w:pPr>
    <w:rPr>
      <w:rFonts w:eastAsia="Times New Roman"/>
      <w:sz w:val="20"/>
      <w:szCs w:val="20"/>
      <w:lang w:val="x-none" w:eastAsia="x-none"/>
    </w:rPr>
  </w:style>
  <w:style w:type="character" w:customStyle="1" w:styleId="TFChar">
    <w:name w:val="TF Char"/>
    <w:link w:val="TF"/>
    <w:rsid w:val="00DF2AE0"/>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3758990">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6844-32E2-4DA2-9A1D-1D4F59F1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307</cp:revision>
  <dcterms:created xsi:type="dcterms:W3CDTF">2018-01-15T06:05:00Z</dcterms:created>
  <dcterms:modified xsi:type="dcterms:W3CDTF">2019-04-01T11:27:00Z</dcterms:modified>
</cp:coreProperties>
</file>